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842</w:t>
      </w:r>
      <w:r>
        <w:rPr>
          <w:rFonts w:ascii="Times New Roman" w:eastAsia="Times New Roman" w:hAnsi="Times New Roman" w:cs="Times New Roman"/>
          <w:sz w:val="26"/>
          <w:szCs w:val="26"/>
        </w:rPr>
        <w:t>-260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566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000313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</w:p>
    <w:p>
      <w:pPr>
        <w:keepNext/>
        <w:spacing w:before="0" w:after="0"/>
        <w:ind w:left="4247" w:firstLine="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141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02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Рязанова Владислава Вячеславовича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Обществу с ограниченной ответственность «</w:t>
      </w:r>
      <w:r>
        <w:rPr>
          <w:rFonts w:ascii="Times New Roman" w:eastAsia="Times New Roman" w:hAnsi="Times New Roman" w:cs="Times New Roman"/>
          <w:sz w:val="26"/>
          <w:szCs w:val="26"/>
        </w:rPr>
        <w:t>МВМ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333 ГК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3540" w:firstLine="708"/>
        <w:jc w:val="both"/>
        <w:rPr>
          <w:sz w:val="26"/>
          <w:szCs w:val="26"/>
        </w:rPr>
      </w:pPr>
    </w:p>
    <w:p>
      <w:pPr>
        <w:spacing w:before="0" w:after="0"/>
        <w:ind w:left="354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Рязанова Владислава Вячеславовича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Обществу с ограниченной ответственность «МВМ»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7707548740)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«МВМ»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Рязанова Владислава Вячеславовича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товара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790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неустойку за </w:t>
      </w:r>
      <w:r>
        <w:rPr>
          <w:rFonts w:ascii="Times New Roman" w:eastAsia="Times New Roman" w:hAnsi="Times New Roman" w:cs="Times New Roman"/>
          <w:sz w:val="26"/>
          <w:szCs w:val="26"/>
        </w:rPr>
        <w:t>невыполнение требования потребителя о предоставлении ему на период замены аналогичного товара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9300 рублей 50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за несоблюдение в добровольном порядке удовлетворения требований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«МВМ»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доход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пошлину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842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ExternalSystemDefinedgrp-16rplc-10">
    <w:name w:val="cat-ExternalSystemDefined grp-16 rplc-10"/>
    <w:basedOn w:val="DefaultParagraphFont"/>
  </w:style>
  <w:style w:type="character" w:customStyle="1" w:styleId="cat-ExternalSystemDefinedgrp-15rplc-11">
    <w:name w:val="cat-ExternalSystemDefined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